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1E6F5" w14:textId="77777777" w:rsidR="00F537E2" w:rsidRDefault="00F537E2" w:rsidP="00E55BC2">
      <w:pPr>
        <w:spacing w:line="240" w:lineRule="auto"/>
        <w:jc w:val="both"/>
        <w:rPr>
          <w:rFonts w:ascii="Times New Roman" w:hAnsi="Times New Roman" w:cs="Times New Roman"/>
          <w:b/>
          <w:bCs/>
          <w:sz w:val="24"/>
          <w:szCs w:val="24"/>
        </w:rPr>
      </w:pPr>
    </w:p>
    <w:p w14:paraId="59548765" w14:textId="04F942BC" w:rsidR="002F4590" w:rsidRPr="00E55BC2" w:rsidRDefault="00E55BC2" w:rsidP="00E55BC2">
      <w:pPr>
        <w:spacing w:line="240" w:lineRule="auto"/>
        <w:jc w:val="both"/>
        <w:rPr>
          <w:rFonts w:ascii="Times New Roman" w:hAnsi="Times New Roman" w:cs="Times New Roman"/>
          <w:b/>
          <w:bCs/>
          <w:sz w:val="24"/>
          <w:szCs w:val="24"/>
        </w:rPr>
      </w:pPr>
      <w:r w:rsidRPr="00E55BC2">
        <w:rPr>
          <w:rFonts w:ascii="Times New Roman" w:hAnsi="Times New Roman" w:cs="Times New Roman"/>
          <w:b/>
          <w:bCs/>
          <w:sz w:val="24"/>
          <w:szCs w:val="24"/>
        </w:rPr>
        <w:t>CONTRIBUCIÓN A LA CONSULTA ESPECÍFICA DE LA COMISIÓN EUROPEA PARA PREPARAR EL INFORME SOBRE EL ESTADO DE DERECHO EN 2026</w:t>
      </w:r>
    </w:p>
    <w:p w14:paraId="46C50876" w14:textId="4DE7DBD3" w:rsidR="00E55BC2" w:rsidRPr="00E55BC2" w:rsidRDefault="00E55BC2" w:rsidP="00E55BC2">
      <w:pPr>
        <w:spacing w:line="240" w:lineRule="auto"/>
        <w:jc w:val="both"/>
        <w:rPr>
          <w:rFonts w:ascii="Times New Roman" w:hAnsi="Times New Roman" w:cs="Times New Roman"/>
          <w:sz w:val="24"/>
          <w:szCs w:val="24"/>
        </w:rPr>
      </w:pPr>
      <w:r w:rsidRPr="00E55BC2">
        <w:rPr>
          <w:rFonts w:ascii="Times New Roman" w:hAnsi="Times New Roman" w:cs="Times New Roman"/>
          <w:sz w:val="24"/>
          <w:szCs w:val="24"/>
        </w:rPr>
        <w:t>Isaac Ibáñez García</w:t>
      </w:r>
    </w:p>
    <w:p w14:paraId="4FB78B1E" w14:textId="784FF7F9" w:rsidR="00E55BC2" w:rsidRPr="00E55BC2" w:rsidRDefault="00E55BC2" w:rsidP="00E55BC2">
      <w:pPr>
        <w:spacing w:line="240" w:lineRule="auto"/>
        <w:jc w:val="both"/>
        <w:rPr>
          <w:rFonts w:ascii="Times New Roman" w:hAnsi="Times New Roman" w:cs="Times New Roman"/>
          <w:sz w:val="24"/>
          <w:szCs w:val="24"/>
        </w:rPr>
      </w:pPr>
      <w:r w:rsidRPr="00E55BC2">
        <w:rPr>
          <w:rFonts w:ascii="Times New Roman" w:hAnsi="Times New Roman" w:cs="Times New Roman"/>
          <w:sz w:val="24"/>
          <w:szCs w:val="24"/>
        </w:rPr>
        <w:t>Abogado</w:t>
      </w:r>
    </w:p>
    <w:p w14:paraId="3EC174F0" w14:textId="1C3681E2" w:rsidR="00E55BC2" w:rsidRPr="00E55BC2" w:rsidRDefault="00E55BC2" w:rsidP="00E55BC2">
      <w:pPr>
        <w:spacing w:line="240" w:lineRule="auto"/>
        <w:jc w:val="both"/>
        <w:rPr>
          <w:rFonts w:ascii="Times New Roman" w:hAnsi="Times New Roman" w:cs="Times New Roman"/>
          <w:sz w:val="24"/>
          <w:szCs w:val="24"/>
        </w:rPr>
      </w:pPr>
      <w:r w:rsidRPr="00E55BC2">
        <w:rPr>
          <w:rFonts w:ascii="Times New Roman" w:hAnsi="Times New Roman" w:cs="Times New Roman"/>
          <w:sz w:val="24"/>
          <w:szCs w:val="24"/>
        </w:rPr>
        <w:t>Plasencia, 9 de diciembre de 2025</w:t>
      </w:r>
    </w:p>
    <w:p w14:paraId="4A194B59" w14:textId="13836383" w:rsidR="00E55BC2" w:rsidRPr="00E55BC2" w:rsidRDefault="00581895" w:rsidP="00E55BC2">
      <w:pPr>
        <w:spacing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I.- </w:t>
      </w:r>
      <w:r w:rsidR="00E55BC2" w:rsidRPr="00E55BC2">
        <w:rPr>
          <w:rFonts w:ascii="Times New Roman" w:hAnsi="Times New Roman" w:cs="Times New Roman"/>
          <w:b/>
          <w:bCs/>
          <w:sz w:val="24"/>
          <w:szCs w:val="24"/>
          <w:u w:val="single"/>
        </w:rPr>
        <w:t>Ataques a la independencia del Poder Judicial</w:t>
      </w:r>
    </w:p>
    <w:p w14:paraId="32ABE81C" w14:textId="6AA33EE6" w:rsidR="00E55BC2" w:rsidRDefault="00E55BC2" w:rsidP="00E55BC2">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Se producen continuos ataques, desde el Gobierno </w:t>
      </w:r>
      <w:r w:rsidR="00CA55B1">
        <w:rPr>
          <w:rFonts w:ascii="Times New Roman" w:hAnsi="Times New Roman" w:cs="Times New Roman"/>
          <w:sz w:val="24"/>
          <w:szCs w:val="24"/>
        </w:rPr>
        <w:t>-</w:t>
      </w:r>
      <w:r>
        <w:rPr>
          <w:rFonts w:ascii="Times New Roman" w:hAnsi="Times New Roman" w:cs="Times New Roman"/>
          <w:sz w:val="24"/>
          <w:szCs w:val="24"/>
        </w:rPr>
        <w:t>encabezados por su presidente</w:t>
      </w:r>
      <w:r w:rsidR="00CA55B1">
        <w:rPr>
          <w:rFonts w:ascii="Times New Roman" w:hAnsi="Times New Roman" w:cs="Times New Roman"/>
          <w:sz w:val="24"/>
          <w:szCs w:val="24"/>
        </w:rPr>
        <w:t xml:space="preserve">- </w:t>
      </w:r>
      <w:r>
        <w:rPr>
          <w:rFonts w:ascii="Times New Roman" w:hAnsi="Times New Roman" w:cs="Times New Roman"/>
          <w:sz w:val="24"/>
          <w:szCs w:val="24"/>
        </w:rPr>
        <w:t>a la independencia del Poder Judicial, especialmente desde la condena al ex fiscal General del Estado por el Tribunal Supremo.</w:t>
      </w:r>
    </w:p>
    <w:p w14:paraId="6230E71A" w14:textId="70981328" w:rsidR="00E55BC2" w:rsidRDefault="00E55BC2" w:rsidP="00E55BC2">
      <w:pPr>
        <w:spacing w:line="240" w:lineRule="auto"/>
        <w:jc w:val="both"/>
        <w:rPr>
          <w:rFonts w:ascii="Times New Roman" w:hAnsi="Times New Roman" w:cs="Times New Roman"/>
          <w:sz w:val="24"/>
          <w:szCs w:val="24"/>
        </w:rPr>
      </w:pPr>
      <w:r>
        <w:rPr>
          <w:rFonts w:ascii="Times New Roman" w:hAnsi="Times New Roman" w:cs="Times New Roman"/>
          <w:sz w:val="24"/>
          <w:szCs w:val="24"/>
        </w:rPr>
        <w:t>La Comisión Europea está al tanto de estos ataques y no hace nada al respecto.</w:t>
      </w:r>
    </w:p>
    <w:p w14:paraId="1D99F9D6" w14:textId="7F154155" w:rsidR="007C77DB" w:rsidRPr="007C77DB" w:rsidRDefault="00581895" w:rsidP="00E55BC2">
      <w:pPr>
        <w:spacing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II.- </w:t>
      </w:r>
      <w:r w:rsidR="007C77DB" w:rsidRPr="007C77DB">
        <w:rPr>
          <w:rFonts w:ascii="Times New Roman" w:hAnsi="Times New Roman" w:cs="Times New Roman"/>
          <w:b/>
          <w:bCs/>
          <w:sz w:val="24"/>
          <w:szCs w:val="24"/>
          <w:u w:val="single"/>
        </w:rPr>
        <w:t>Degradación del procedimiento legislativo español</w:t>
      </w:r>
    </w:p>
    <w:p w14:paraId="4F9A8474" w14:textId="7A545782" w:rsidR="007C77DB" w:rsidRDefault="007C77DB" w:rsidP="00E55BC2">
      <w:pPr>
        <w:spacing w:line="240" w:lineRule="auto"/>
        <w:jc w:val="both"/>
        <w:rPr>
          <w:rFonts w:ascii="Times New Roman" w:hAnsi="Times New Roman" w:cs="Times New Roman"/>
          <w:sz w:val="24"/>
          <w:szCs w:val="24"/>
        </w:rPr>
      </w:pPr>
      <w:r>
        <w:rPr>
          <w:rFonts w:ascii="Times New Roman" w:hAnsi="Times New Roman" w:cs="Times New Roman"/>
          <w:sz w:val="24"/>
          <w:szCs w:val="24"/>
        </w:rPr>
        <w:t>La Comisión también está al corriente de la degradación del procedimiento legislativo español, que se manifiesta: en el abuso del decreto-ley; la utilización de las proposiciones de ley presentadas por grupos parlamentarios afines al Gobierno, la utilización de las denominadas enmiendas intrusas, abuso de los procedimientos de urgencia, etcétera, todo ello con la finalidad de obviar trámites esenciales como las consultas públicas y los informes de órganos consultivos como el Consejo de Estado, Consejo General del Poder Judicial, etcétera.</w:t>
      </w:r>
    </w:p>
    <w:p w14:paraId="7F42048D" w14:textId="447AD777" w:rsidR="00774E80" w:rsidRPr="00774E80" w:rsidRDefault="00581895" w:rsidP="00774E80">
      <w:pPr>
        <w:spacing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III.- </w:t>
      </w:r>
      <w:r w:rsidR="00774E80" w:rsidRPr="00774E80">
        <w:rPr>
          <w:rFonts w:ascii="Times New Roman" w:hAnsi="Times New Roman" w:cs="Times New Roman"/>
          <w:b/>
          <w:bCs/>
          <w:sz w:val="24"/>
          <w:szCs w:val="24"/>
          <w:u w:val="single"/>
        </w:rPr>
        <w:t>Degradación por el Tribunal Constitucional español de la cuestión prejudicial europea</w:t>
      </w:r>
      <w:r w:rsidR="00774E80">
        <w:rPr>
          <w:rFonts w:ascii="Times New Roman" w:hAnsi="Times New Roman" w:cs="Times New Roman"/>
          <w:b/>
          <w:bCs/>
          <w:sz w:val="24"/>
          <w:szCs w:val="24"/>
          <w:u w:val="single"/>
        </w:rPr>
        <w:t xml:space="preserve"> (</w:t>
      </w:r>
      <w:r w:rsidR="00774E80" w:rsidRPr="00774E80">
        <w:rPr>
          <w:rFonts w:ascii="Times New Roman" w:hAnsi="Times New Roman" w:cs="Times New Roman"/>
          <w:b/>
          <w:bCs/>
          <w:sz w:val="24"/>
          <w:szCs w:val="24"/>
          <w:u w:val="single"/>
        </w:rPr>
        <w:t>artículo 267 del TFUE</w:t>
      </w:r>
      <w:r w:rsidR="00774E80">
        <w:rPr>
          <w:rFonts w:ascii="Times New Roman" w:hAnsi="Times New Roman" w:cs="Times New Roman"/>
          <w:b/>
          <w:bCs/>
          <w:sz w:val="24"/>
          <w:szCs w:val="24"/>
          <w:u w:val="single"/>
        </w:rPr>
        <w:t>)</w:t>
      </w:r>
    </w:p>
    <w:p w14:paraId="2A2F93FC" w14:textId="77777777" w:rsidR="00774E80" w:rsidRDefault="00774E80" w:rsidP="00774E80">
      <w:pPr>
        <w:spacing w:after="0" w:line="240" w:lineRule="auto"/>
        <w:jc w:val="both"/>
        <w:rPr>
          <w:rFonts w:ascii="Times New Roman" w:eastAsia="Times New Roman" w:hAnsi="Times New Roman" w:cs="Times New Roman"/>
          <w:kern w:val="0"/>
          <w:sz w:val="24"/>
          <w:szCs w:val="24"/>
          <w:lang w:eastAsia="es-ES"/>
          <w14:ligatures w14:val="none"/>
        </w:rPr>
      </w:pPr>
    </w:p>
    <w:p w14:paraId="64186EE0" w14:textId="22B58EAF" w:rsidR="00774E80" w:rsidRPr="00774E80" w:rsidRDefault="00774E80" w:rsidP="00774E80">
      <w:pPr>
        <w:spacing w:after="0" w:line="240" w:lineRule="auto"/>
        <w:jc w:val="both"/>
        <w:rPr>
          <w:rFonts w:ascii="Times New Roman" w:eastAsia="Times New Roman" w:hAnsi="Times New Roman" w:cs="Times New Roman"/>
          <w:kern w:val="0"/>
          <w:sz w:val="24"/>
          <w:szCs w:val="24"/>
          <w:lang w:eastAsia="es-ES"/>
          <w14:ligatures w14:val="none"/>
        </w:rPr>
      </w:pPr>
      <w:r>
        <w:rPr>
          <w:rFonts w:ascii="Times New Roman" w:eastAsia="Times New Roman" w:hAnsi="Times New Roman" w:cs="Times New Roman"/>
          <w:kern w:val="0"/>
          <w:sz w:val="24"/>
          <w:szCs w:val="24"/>
          <w:lang w:eastAsia="es-ES"/>
          <w14:ligatures w14:val="none"/>
        </w:rPr>
        <w:t>De este asunto tiene conocimiento la Comisión a través de la d</w:t>
      </w:r>
      <w:r w:rsidRPr="00774E80">
        <w:rPr>
          <w:rFonts w:ascii="Times New Roman" w:eastAsia="Times New Roman" w:hAnsi="Times New Roman" w:cs="Times New Roman"/>
          <w:kern w:val="0"/>
          <w:sz w:val="24"/>
          <w:szCs w:val="24"/>
          <w:lang w:eastAsia="es-ES"/>
          <w14:ligatures w14:val="none"/>
        </w:rPr>
        <w:t xml:space="preserve">enuncia </w:t>
      </w:r>
      <w:r>
        <w:rPr>
          <w:rFonts w:ascii="Times New Roman" w:eastAsia="Times New Roman" w:hAnsi="Times New Roman" w:cs="Times New Roman"/>
          <w:kern w:val="0"/>
          <w:sz w:val="24"/>
          <w:szCs w:val="24"/>
          <w:lang w:eastAsia="es-ES"/>
          <w14:ligatures w14:val="none"/>
        </w:rPr>
        <w:t>d</w:t>
      </w:r>
      <w:r w:rsidRPr="00774E80">
        <w:rPr>
          <w:rFonts w:ascii="Times New Roman" w:eastAsia="Times New Roman" w:hAnsi="Times New Roman" w:cs="Times New Roman"/>
          <w:kern w:val="0"/>
          <w:sz w:val="24"/>
          <w:szCs w:val="24"/>
          <w:lang w:eastAsia="es-ES"/>
          <w14:ligatures w14:val="none"/>
        </w:rPr>
        <w:t xml:space="preserve">e 25 de marzo de 2025, </w:t>
      </w:r>
      <w:r>
        <w:rPr>
          <w:rFonts w:ascii="Times New Roman" w:eastAsia="Times New Roman" w:hAnsi="Times New Roman" w:cs="Times New Roman"/>
          <w:kern w:val="0"/>
          <w:sz w:val="24"/>
          <w:szCs w:val="24"/>
          <w:lang w:eastAsia="es-ES"/>
          <w14:ligatures w14:val="none"/>
        </w:rPr>
        <w:t xml:space="preserve">que está tramitando la </w:t>
      </w:r>
      <w:r w:rsidRPr="00774E80">
        <w:rPr>
          <w:rFonts w:ascii="Times New Roman" w:eastAsia="Times New Roman" w:hAnsi="Times New Roman" w:cs="Times New Roman"/>
          <w:kern w:val="0"/>
          <w:sz w:val="24"/>
          <w:szCs w:val="24"/>
          <w:lang w:eastAsia="es-ES"/>
          <w14:ligatures w14:val="none"/>
        </w:rPr>
        <w:t xml:space="preserve">Dirección General de Justicia y Consumidores. Expediente: </w:t>
      </w:r>
      <w:proofErr w:type="gramStart"/>
      <w:r w:rsidRPr="00774E80">
        <w:rPr>
          <w:rFonts w:ascii="Times New Roman" w:eastAsia="Times New Roman" w:hAnsi="Times New Roman" w:cs="Times New Roman"/>
          <w:kern w:val="0"/>
          <w:sz w:val="24"/>
          <w:szCs w:val="24"/>
          <w:lang w:eastAsia="es-ES"/>
          <w14:ligatures w14:val="none"/>
        </w:rPr>
        <w:t>CPLT(</w:t>
      </w:r>
      <w:proofErr w:type="gramEnd"/>
      <w:r w:rsidRPr="00774E80">
        <w:rPr>
          <w:rFonts w:ascii="Times New Roman" w:eastAsia="Times New Roman" w:hAnsi="Times New Roman" w:cs="Times New Roman"/>
          <w:kern w:val="0"/>
          <w:sz w:val="24"/>
          <w:szCs w:val="24"/>
          <w:lang w:eastAsia="es-ES"/>
          <w14:ligatures w14:val="none"/>
        </w:rPr>
        <w:t>2025)00464.</w:t>
      </w:r>
    </w:p>
    <w:p w14:paraId="55EF0302" w14:textId="77777777" w:rsidR="00774E80" w:rsidRDefault="00774E80" w:rsidP="00E55BC2">
      <w:pPr>
        <w:spacing w:line="240" w:lineRule="auto"/>
        <w:jc w:val="both"/>
        <w:rPr>
          <w:rFonts w:ascii="Times New Roman" w:hAnsi="Times New Roman" w:cs="Times New Roman"/>
          <w:sz w:val="24"/>
          <w:szCs w:val="24"/>
        </w:rPr>
      </w:pPr>
    </w:p>
    <w:p w14:paraId="39287D5F" w14:textId="15A44D0E" w:rsidR="00F954F2" w:rsidRPr="00F954F2" w:rsidRDefault="00581895" w:rsidP="00E55BC2">
      <w:pPr>
        <w:spacing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IV.- </w:t>
      </w:r>
      <w:r w:rsidR="00F954F2" w:rsidRPr="00F954F2">
        <w:rPr>
          <w:rFonts w:ascii="Times New Roman" w:hAnsi="Times New Roman" w:cs="Times New Roman"/>
          <w:b/>
          <w:bCs/>
          <w:sz w:val="24"/>
          <w:szCs w:val="24"/>
          <w:u w:val="single"/>
        </w:rPr>
        <w:t>Mala administración por parte de la Comisión en la tramitación de las denuncias de infracciones del Derecho de la UE</w:t>
      </w:r>
      <w:r w:rsidR="00EA347F">
        <w:rPr>
          <w:rFonts w:ascii="Times New Roman" w:hAnsi="Times New Roman" w:cs="Times New Roman"/>
          <w:b/>
          <w:bCs/>
          <w:sz w:val="24"/>
          <w:szCs w:val="24"/>
          <w:u w:val="single"/>
        </w:rPr>
        <w:t>. Caso español</w:t>
      </w:r>
    </w:p>
    <w:p w14:paraId="2A81CE1E" w14:textId="6805B85A" w:rsidR="00EA347F" w:rsidRDefault="00EA347F" w:rsidP="00E55BC2">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La tardanza en la tramitación de las denuncias por infracción del Derecho de la UE y de los procedimientos de infracción es crítica habitual </w:t>
      </w:r>
      <w:r w:rsidR="001B731C">
        <w:rPr>
          <w:rFonts w:ascii="Times New Roman" w:hAnsi="Times New Roman" w:cs="Times New Roman"/>
          <w:sz w:val="24"/>
          <w:szCs w:val="24"/>
        </w:rPr>
        <w:t xml:space="preserve">por </w:t>
      </w:r>
      <w:r>
        <w:rPr>
          <w:rFonts w:ascii="Times New Roman" w:hAnsi="Times New Roman" w:cs="Times New Roman"/>
          <w:sz w:val="24"/>
          <w:szCs w:val="24"/>
        </w:rPr>
        <w:t>el Parlamento Europeo.</w:t>
      </w:r>
    </w:p>
    <w:p w14:paraId="6B6CEC00" w14:textId="37394110" w:rsidR="00F954F2" w:rsidRDefault="00F954F2" w:rsidP="00E55BC2">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Ejemplo paradigmático es el expediente </w:t>
      </w:r>
      <w:proofErr w:type="gramStart"/>
      <w:r>
        <w:rPr>
          <w:rFonts w:ascii="Times New Roman" w:hAnsi="Times New Roman" w:cs="Times New Roman"/>
          <w:sz w:val="24"/>
          <w:szCs w:val="24"/>
        </w:rPr>
        <w:t>CPLT(</w:t>
      </w:r>
      <w:proofErr w:type="gramEnd"/>
      <w:r>
        <w:rPr>
          <w:rFonts w:ascii="Times New Roman" w:hAnsi="Times New Roman" w:cs="Times New Roman"/>
          <w:sz w:val="24"/>
          <w:szCs w:val="24"/>
        </w:rPr>
        <w:t>2023)01784,</w:t>
      </w:r>
      <w:r w:rsidR="00F060D9">
        <w:rPr>
          <w:rFonts w:ascii="Times New Roman" w:hAnsi="Times New Roman" w:cs="Times New Roman"/>
          <w:sz w:val="24"/>
          <w:szCs w:val="24"/>
        </w:rPr>
        <w:t xml:space="preserve"> antes </w:t>
      </w:r>
      <w:proofErr w:type="gramStart"/>
      <w:r w:rsidR="00F060D9">
        <w:rPr>
          <w:rFonts w:ascii="Times New Roman" w:hAnsi="Times New Roman" w:cs="Times New Roman"/>
          <w:sz w:val="24"/>
          <w:szCs w:val="24"/>
        </w:rPr>
        <w:t>CHAP(</w:t>
      </w:r>
      <w:proofErr w:type="gramEnd"/>
      <w:r w:rsidR="00F060D9">
        <w:rPr>
          <w:rFonts w:ascii="Times New Roman" w:hAnsi="Times New Roman" w:cs="Times New Roman"/>
          <w:sz w:val="24"/>
          <w:szCs w:val="24"/>
        </w:rPr>
        <w:t xml:space="preserve">2023)00121, </w:t>
      </w:r>
      <w:r>
        <w:rPr>
          <w:rFonts w:ascii="Times New Roman" w:hAnsi="Times New Roman" w:cs="Times New Roman"/>
          <w:sz w:val="24"/>
          <w:szCs w:val="24"/>
        </w:rPr>
        <w:t>abierto por una denuncia de fecha 8 de enero de 2023</w:t>
      </w:r>
      <w:r w:rsidR="00F060D9">
        <w:rPr>
          <w:rFonts w:ascii="Times New Roman" w:hAnsi="Times New Roman" w:cs="Times New Roman"/>
          <w:sz w:val="24"/>
          <w:szCs w:val="24"/>
        </w:rPr>
        <w:t>, sobre la reforma legislativa en España, que rebajó las penas en el delito de malversación.</w:t>
      </w:r>
    </w:p>
    <w:p w14:paraId="55EFDE91" w14:textId="04629780" w:rsidR="00F060D9" w:rsidRDefault="00F060D9" w:rsidP="00E55BC2">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El entonces comisario encargado del asunto (señor </w:t>
      </w:r>
      <w:proofErr w:type="spellStart"/>
      <w:r>
        <w:rPr>
          <w:rFonts w:ascii="Times New Roman" w:hAnsi="Times New Roman" w:cs="Times New Roman"/>
          <w:sz w:val="24"/>
          <w:szCs w:val="24"/>
        </w:rPr>
        <w:t>Reynders</w:t>
      </w:r>
      <w:proofErr w:type="spellEnd"/>
      <w:r>
        <w:rPr>
          <w:rFonts w:ascii="Times New Roman" w:hAnsi="Times New Roman" w:cs="Times New Roman"/>
          <w:sz w:val="24"/>
          <w:szCs w:val="24"/>
        </w:rPr>
        <w:t>. Hoy procesado en Bélgica por blanqueo de capitales) manifestó ante el Pleno del Parlamento Europeo, el 18 de enero de 2023, que la Comisión Europea estaba analizando la reforma del Código Penal español, y en especial la reforma del delito de malversación.</w:t>
      </w:r>
    </w:p>
    <w:p w14:paraId="7E79D1B2" w14:textId="77777777" w:rsidR="00F954F2" w:rsidRDefault="00F954F2" w:rsidP="00E55BC2">
      <w:pPr>
        <w:spacing w:line="240" w:lineRule="auto"/>
        <w:jc w:val="both"/>
        <w:rPr>
          <w:rFonts w:ascii="Times New Roman" w:hAnsi="Times New Roman" w:cs="Times New Roman"/>
          <w:sz w:val="24"/>
          <w:szCs w:val="24"/>
        </w:rPr>
      </w:pPr>
    </w:p>
    <w:p w14:paraId="3D4A3B17" w14:textId="1E0D05A5" w:rsidR="00616B2B" w:rsidRPr="00616B2B" w:rsidRDefault="00581895" w:rsidP="00E55BC2">
      <w:pPr>
        <w:spacing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 xml:space="preserve">V.- </w:t>
      </w:r>
      <w:r w:rsidR="00616B2B" w:rsidRPr="00616B2B">
        <w:rPr>
          <w:rFonts w:ascii="Times New Roman" w:hAnsi="Times New Roman" w:cs="Times New Roman"/>
          <w:b/>
          <w:bCs/>
          <w:sz w:val="24"/>
          <w:szCs w:val="24"/>
          <w:u w:val="single"/>
        </w:rPr>
        <w:t>Mala administración sistémica por parte de la Comisión en su función de asegurar el cumplimiento de las sentencias del TJUE</w:t>
      </w:r>
    </w:p>
    <w:p w14:paraId="7E1788AC" w14:textId="236B3F68" w:rsidR="00CB79B7" w:rsidRDefault="00CB79B7" w:rsidP="00616B2B">
      <w:pPr>
        <w:spacing w:line="240" w:lineRule="auto"/>
        <w:jc w:val="both"/>
        <w:rPr>
          <w:rFonts w:ascii="TimesNewRomanPSMT" w:eastAsia="Times New Roman" w:hAnsi="TimesNewRomanPSMT" w:cs="Times New Roman"/>
          <w:color w:val="000000"/>
          <w:sz w:val="24"/>
          <w:szCs w:val="24"/>
          <w:lang w:eastAsia="es-ES"/>
        </w:rPr>
      </w:pPr>
      <w:r>
        <w:rPr>
          <w:rFonts w:ascii="TimesNewRomanPSMT" w:eastAsia="Times New Roman" w:hAnsi="TimesNewRomanPSMT" w:cs="Times New Roman"/>
          <w:color w:val="000000"/>
          <w:sz w:val="24"/>
          <w:szCs w:val="24"/>
          <w:lang w:eastAsia="es-ES"/>
        </w:rPr>
        <w:t>Existe una mala administración de carácter sistémico en la forma en que la Comisión ejerce referida función.</w:t>
      </w:r>
    </w:p>
    <w:p w14:paraId="6CEF3A6F" w14:textId="5D806487" w:rsidR="00616B2B" w:rsidRPr="00A363E0" w:rsidRDefault="00CB79B7" w:rsidP="00616B2B">
      <w:pPr>
        <w:spacing w:line="240" w:lineRule="auto"/>
        <w:jc w:val="both"/>
        <w:rPr>
          <w:rFonts w:ascii="TimesNewRomanPSMT" w:eastAsia="Times New Roman" w:hAnsi="TimesNewRomanPSMT" w:cs="Times New Roman"/>
          <w:color w:val="000000"/>
          <w:sz w:val="24"/>
          <w:szCs w:val="24"/>
          <w:lang w:eastAsia="es-ES"/>
        </w:rPr>
      </w:pPr>
      <w:r>
        <w:rPr>
          <w:rFonts w:ascii="TimesNewRomanPSMT" w:eastAsia="Times New Roman" w:hAnsi="TimesNewRomanPSMT" w:cs="Times New Roman"/>
          <w:color w:val="000000"/>
          <w:sz w:val="24"/>
          <w:szCs w:val="24"/>
          <w:lang w:eastAsia="es-ES"/>
        </w:rPr>
        <w:t>El</w:t>
      </w:r>
      <w:r w:rsidR="00616B2B">
        <w:rPr>
          <w:rFonts w:ascii="TimesNewRomanPSMT" w:eastAsia="Times New Roman" w:hAnsi="TimesNewRomanPSMT" w:cs="Times New Roman"/>
          <w:color w:val="000000"/>
          <w:sz w:val="24"/>
          <w:szCs w:val="24"/>
          <w:lang w:eastAsia="es-ES"/>
        </w:rPr>
        <w:t xml:space="preserve"> Tribunal </w:t>
      </w:r>
      <w:r w:rsidR="00616B2B" w:rsidRPr="00A363E0">
        <w:rPr>
          <w:rFonts w:ascii="TimesNewRomanPSMT" w:eastAsia="Times New Roman" w:hAnsi="TimesNewRomanPSMT" w:cs="Times New Roman"/>
          <w:color w:val="000000"/>
          <w:sz w:val="24"/>
          <w:szCs w:val="24"/>
          <w:lang w:eastAsia="es-ES"/>
        </w:rPr>
        <w:t xml:space="preserve">ha construido una </w:t>
      </w:r>
      <w:r w:rsidR="00616B2B" w:rsidRPr="00A363E0">
        <w:rPr>
          <w:rFonts w:ascii="TimesNewRomanPSMT" w:eastAsia="Times New Roman" w:hAnsi="TimesNewRomanPSMT" w:cs="Times New Roman"/>
          <w:b/>
          <w:bCs/>
          <w:color w:val="000000"/>
          <w:sz w:val="24"/>
          <w:szCs w:val="24"/>
          <w:lang w:eastAsia="es-ES"/>
        </w:rPr>
        <w:t>línea jurisprudencial constante</w:t>
      </w:r>
      <w:r w:rsidR="00616B2B" w:rsidRPr="00A363E0">
        <w:rPr>
          <w:rFonts w:ascii="TimesNewRomanPSMT" w:eastAsia="Times New Roman" w:hAnsi="TimesNewRomanPSMT" w:cs="Times New Roman"/>
          <w:color w:val="000000"/>
          <w:sz w:val="24"/>
          <w:szCs w:val="24"/>
          <w:lang w:eastAsia="es-ES"/>
        </w:rPr>
        <w:t xml:space="preserve"> basada en tres ideas clave:</w:t>
      </w:r>
    </w:p>
    <w:p w14:paraId="30A1AD1C" w14:textId="77777777" w:rsidR="00616B2B" w:rsidRPr="00A363E0" w:rsidRDefault="00616B2B" w:rsidP="00616B2B">
      <w:pPr>
        <w:spacing w:after="0" w:line="240" w:lineRule="auto"/>
        <w:jc w:val="both"/>
        <w:rPr>
          <w:rFonts w:ascii="TimesNewRomanPSMT" w:eastAsia="Times New Roman" w:hAnsi="TimesNewRomanPSMT" w:cs="Times New Roman"/>
          <w:color w:val="000000"/>
          <w:sz w:val="24"/>
          <w:szCs w:val="24"/>
          <w:lang w:eastAsia="es-ES"/>
        </w:rPr>
      </w:pPr>
    </w:p>
    <w:p w14:paraId="457ADD85" w14:textId="77777777" w:rsidR="00616B2B" w:rsidRPr="00A363E0" w:rsidRDefault="00616B2B" w:rsidP="00616B2B">
      <w:pPr>
        <w:numPr>
          <w:ilvl w:val="0"/>
          <w:numId w:val="1"/>
        </w:numPr>
        <w:spacing w:after="0" w:line="240" w:lineRule="auto"/>
        <w:jc w:val="both"/>
        <w:rPr>
          <w:rFonts w:ascii="TimesNewRomanPSMT" w:eastAsia="Times New Roman" w:hAnsi="TimesNewRomanPSMT" w:cs="Times New Roman"/>
          <w:color w:val="000000"/>
          <w:sz w:val="24"/>
          <w:szCs w:val="24"/>
          <w:lang w:eastAsia="es-ES"/>
        </w:rPr>
      </w:pPr>
      <w:r w:rsidRPr="00A363E0">
        <w:rPr>
          <w:rFonts w:ascii="TimesNewRomanPSMT" w:eastAsia="Times New Roman" w:hAnsi="TimesNewRomanPSMT" w:cs="Times New Roman"/>
          <w:b/>
          <w:bCs/>
          <w:color w:val="000000"/>
          <w:sz w:val="24"/>
          <w:szCs w:val="24"/>
          <w:lang w:eastAsia="es-ES"/>
        </w:rPr>
        <w:t>El cumplimiento debe ser inmediato, efectivo y completo.</w:t>
      </w:r>
    </w:p>
    <w:p w14:paraId="159102B2" w14:textId="77777777" w:rsidR="00616B2B" w:rsidRPr="00A363E0" w:rsidRDefault="00616B2B" w:rsidP="00616B2B">
      <w:pPr>
        <w:spacing w:after="0" w:line="240" w:lineRule="auto"/>
        <w:ind w:left="720"/>
        <w:jc w:val="both"/>
        <w:rPr>
          <w:rFonts w:ascii="TimesNewRomanPSMT" w:eastAsia="Times New Roman" w:hAnsi="TimesNewRomanPSMT" w:cs="Times New Roman"/>
          <w:color w:val="000000"/>
          <w:sz w:val="24"/>
          <w:szCs w:val="24"/>
          <w:lang w:eastAsia="es-ES"/>
        </w:rPr>
      </w:pPr>
    </w:p>
    <w:p w14:paraId="77213629" w14:textId="77777777" w:rsidR="00616B2B" w:rsidRPr="00A363E0" w:rsidRDefault="00616B2B" w:rsidP="00616B2B">
      <w:pPr>
        <w:numPr>
          <w:ilvl w:val="0"/>
          <w:numId w:val="1"/>
        </w:numPr>
        <w:spacing w:after="0" w:line="240" w:lineRule="auto"/>
        <w:jc w:val="both"/>
        <w:rPr>
          <w:rFonts w:ascii="TimesNewRomanPSMT" w:eastAsia="Times New Roman" w:hAnsi="TimesNewRomanPSMT" w:cs="Times New Roman"/>
          <w:color w:val="000000"/>
          <w:sz w:val="24"/>
          <w:szCs w:val="24"/>
          <w:lang w:eastAsia="es-ES"/>
        </w:rPr>
      </w:pPr>
      <w:r w:rsidRPr="00A363E0">
        <w:rPr>
          <w:rFonts w:ascii="TimesNewRomanPSMT" w:eastAsia="Times New Roman" w:hAnsi="TimesNewRomanPSMT" w:cs="Times New Roman"/>
          <w:b/>
          <w:bCs/>
          <w:color w:val="000000"/>
          <w:sz w:val="24"/>
          <w:szCs w:val="24"/>
          <w:lang w:eastAsia="es-ES"/>
        </w:rPr>
        <w:t>La Comisión Europea supervisa e impulsa la ejecución.</w:t>
      </w:r>
    </w:p>
    <w:p w14:paraId="5027B862" w14:textId="77777777" w:rsidR="00616B2B" w:rsidRDefault="00616B2B" w:rsidP="00616B2B">
      <w:pPr>
        <w:pStyle w:val="Prrafodelista"/>
        <w:rPr>
          <w:rFonts w:ascii="TimesNewRomanPSMT" w:eastAsia="Times New Roman" w:hAnsi="TimesNewRomanPSMT" w:cs="Times New Roman"/>
          <w:color w:val="000000"/>
          <w:sz w:val="24"/>
          <w:szCs w:val="24"/>
          <w:lang w:eastAsia="es-ES"/>
        </w:rPr>
      </w:pPr>
    </w:p>
    <w:p w14:paraId="1ED95A40" w14:textId="77777777" w:rsidR="00616B2B" w:rsidRDefault="00616B2B" w:rsidP="00616B2B">
      <w:pPr>
        <w:numPr>
          <w:ilvl w:val="0"/>
          <w:numId w:val="1"/>
        </w:numPr>
        <w:spacing w:after="0" w:line="240" w:lineRule="auto"/>
        <w:jc w:val="both"/>
        <w:rPr>
          <w:rFonts w:ascii="TimesNewRomanPSMT" w:eastAsia="Times New Roman" w:hAnsi="TimesNewRomanPSMT" w:cs="Times New Roman"/>
          <w:color w:val="000000"/>
          <w:sz w:val="24"/>
          <w:szCs w:val="24"/>
          <w:lang w:eastAsia="es-ES"/>
        </w:rPr>
      </w:pPr>
      <w:r w:rsidRPr="00A363E0">
        <w:rPr>
          <w:rFonts w:ascii="TimesNewRomanPSMT" w:eastAsia="Times New Roman" w:hAnsi="TimesNewRomanPSMT" w:cs="Times New Roman"/>
          <w:b/>
          <w:bCs/>
          <w:color w:val="000000"/>
          <w:sz w:val="24"/>
          <w:szCs w:val="24"/>
          <w:lang w:eastAsia="es-ES"/>
        </w:rPr>
        <w:t>El TJUE, a instancias de la Comisión, puede imponer sanciones económicas disuasorias</w:t>
      </w:r>
      <w:r w:rsidRPr="00A363E0">
        <w:rPr>
          <w:rFonts w:ascii="TimesNewRomanPSMT" w:eastAsia="Times New Roman" w:hAnsi="TimesNewRomanPSMT" w:cs="Times New Roman"/>
          <w:color w:val="000000"/>
          <w:sz w:val="24"/>
          <w:szCs w:val="24"/>
          <w:lang w:eastAsia="es-ES"/>
        </w:rPr>
        <w:t xml:space="preserve"> para asegurar la autoridad y eficacia de sus decisiones.</w:t>
      </w:r>
    </w:p>
    <w:p w14:paraId="397A2E54" w14:textId="77777777" w:rsidR="00A44204" w:rsidRDefault="00A44204" w:rsidP="00616B2B">
      <w:pPr>
        <w:spacing w:after="0" w:line="240" w:lineRule="auto"/>
        <w:jc w:val="both"/>
        <w:rPr>
          <w:rFonts w:ascii="Times New Roman" w:eastAsia="Times New Roman" w:hAnsi="Times New Roman" w:cs="Times New Roman"/>
          <w:sz w:val="24"/>
          <w:szCs w:val="24"/>
          <w:lang w:eastAsia="es-ES"/>
        </w:rPr>
      </w:pPr>
    </w:p>
    <w:p w14:paraId="1959C618" w14:textId="5EC4A852" w:rsidR="00616B2B" w:rsidRPr="00EF0995" w:rsidRDefault="00616B2B" w:rsidP="00616B2B">
      <w:pPr>
        <w:spacing w:after="0" w:line="240" w:lineRule="auto"/>
        <w:jc w:val="both"/>
        <w:rPr>
          <w:rFonts w:ascii="Times New Roman" w:eastAsia="Times New Roman" w:hAnsi="Times New Roman" w:cs="Times New Roman"/>
          <w:sz w:val="24"/>
          <w:szCs w:val="24"/>
          <w:lang w:eastAsia="es-ES"/>
        </w:rPr>
      </w:pPr>
      <w:r w:rsidRPr="00EF0995">
        <w:rPr>
          <w:rFonts w:ascii="Times New Roman" w:eastAsia="Times New Roman" w:hAnsi="Times New Roman" w:cs="Times New Roman"/>
          <w:sz w:val="24"/>
          <w:szCs w:val="24"/>
          <w:lang w:eastAsia="es-ES"/>
        </w:rPr>
        <w:t>Desde los principios del Estado de Derecho, seguridad jurídica y buena administración, entre otros, es imperativo que las sentencias del Tribunal de Justicia de la Unión Europea se cumplan cuanto antes.</w:t>
      </w:r>
    </w:p>
    <w:p w14:paraId="24115758" w14:textId="77777777" w:rsidR="00616B2B" w:rsidRDefault="00616B2B" w:rsidP="00616B2B">
      <w:pPr>
        <w:spacing w:after="0" w:line="240" w:lineRule="auto"/>
        <w:jc w:val="both"/>
        <w:rPr>
          <w:rFonts w:ascii="TimesNewRomanPSMT" w:eastAsia="Times New Roman" w:hAnsi="TimesNewRomanPSMT" w:cs="Times New Roman"/>
          <w:color w:val="000000"/>
          <w:sz w:val="24"/>
          <w:szCs w:val="24"/>
          <w:lang w:eastAsia="es-ES"/>
        </w:rPr>
      </w:pPr>
    </w:p>
    <w:p w14:paraId="48508F87" w14:textId="77777777" w:rsidR="00616B2B" w:rsidRPr="00A363E0" w:rsidRDefault="00616B2B" w:rsidP="00616B2B">
      <w:pPr>
        <w:spacing w:after="0" w:line="240" w:lineRule="auto"/>
        <w:jc w:val="both"/>
        <w:rPr>
          <w:rFonts w:ascii="TimesNewRomanPSMT" w:eastAsia="Times New Roman" w:hAnsi="TimesNewRomanPSMT" w:cs="Times New Roman"/>
          <w:color w:val="000000"/>
          <w:sz w:val="24"/>
          <w:szCs w:val="24"/>
          <w:lang w:eastAsia="es-ES"/>
        </w:rPr>
      </w:pPr>
      <w:r w:rsidRPr="00A363E0">
        <w:rPr>
          <w:rFonts w:ascii="TimesNewRomanPSMT" w:eastAsia="Times New Roman" w:hAnsi="TimesNewRomanPSMT" w:cs="Times New Roman"/>
          <w:color w:val="000000"/>
          <w:sz w:val="24"/>
          <w:szCs w:val="24"/>
          <w:lang w:eastAsia="es-ES"/>
        </w:rPr>
        <w:t xml:space="preserve">Lo anterior es muy importante, </w:t>
      </w:r>
      <w:r w:rsidRPr="00A363E0">
        <w:rPr>
          <w:rFonts w:ascii="TimesNewRomanPSMT" w:eastAsia="Times New Roman" w:hAnsi="TimesNewRomanPSMT" w:cs="Times New Roman"/>
          <w:b/>
          <w:bCs/>
          <w:color w:val="000000"/>
          <w:sz w:val="24"/>
          <w:szCs w:val="24"/>
          <w:lang w:eastAsia="es-ES"/>
        </w:rPr>
        <w:t>respecto al papel de la Comisión Europea</w:t>
      </w:r>
      <w:r w:rsidRPr="00A363E0">
        <w:rPr>
          <w:rFonts w:ascii="TimesNewRomanPSMT" w:eastAsia="Times New Roman" w:hAnsi="TimesNewRomanPSMT" w:cs="Times New Roman"/>
          <w:color w:val="000000"/>
          <w:sz w:val="24"/>
          <w:szCs w:val="24"/>
          <w:lang w:eastAsia="es-ES"/>
        </w:rPr>
        <w:t xml:space="preserve">, pues el Tribunal de Justicia no tiene una competencia directa de ejecución (únicamente tiene competencia jurisdiccional para declarar el incumplimiento y para imponer sanciones financieras, </w:t>
      </w:r>
      <w:r w:rsidRPr="00A363E0">
        <w:rPr>
          <w:rFonts w:ascii="TimesNewRomanPSMT" w:eastAsia="Times New Roman" w:hAnsi="TimesNewRomanPSMT" w:cs="Times New Roman"/>
          <w:b/>
          <w:bCs/>
          <w:color w:val="000000"/>
          <w:sz w:val="24"/>
          <w:szCs w:val="24"/>
          <w:lang w:eastAsia="es-ES"/>
        </w:rPr>
        <w:t>siempre por recomendación de la Comisión</w:t>
      </w:r>
      <w:r w:rsidRPr="00A363E0">
        <w:rPr>
          <w:rFonts w:ascii="TimesNewRomanPSMT" w:eastAsia="Times New Roman" w:hAnsi="TimesNewRomanPSMT" w:cs="Times New Roman"/>
          <w:color w:val="000000"/>
          <w:sz w:val="24"/>
          <w:szCs w:val="24"/>
          <w:lang w:eastAsia="es-ES"/>
        </w:rPr>
        <w:t>, en caso de incumplimiento). Es decir, el TJUE no dispone de un poder ejecutivo o coercitivo propio, pues depende de la iniciativa de la Comisión, que tiene una responsabilidad clara al respecto.</w:t>
      </w:r>
    </w:p>
    <w:p w14:paraId="36A10795" w14:textId="77777777" w:rsidR="00616B2B" w:rsidRDefault="00616B2B" w:rsidP="00E55BC2">
      <w:pPr>
        <w:spacing w:line="240" w:lineRule="auto"/>
        <w:jc w:val="both"/>
        <w:rPr>
          <w:rFonts w:ascii="Times New Roman" w:hAnsi="Times New Roman" w:cs="Times New Roman"/>
          <w:sz w:val="24"/>
          <w:szCs w:val="24"/>
        </w:rPr>
      </w:pPr>
    </w:p>
    <w:p w14:paraId="672ACB95" w14:textId="76FE57E5" w:rsidR="005E6E2F" w:rsidRDefault="007303B0" w:rsidP="00E55BC2">
      <w:pPr>
        <w:spacing w:line="24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Ejemplo paradigmático es el incumplimiento de l</w:t>
      </w:r>
      <w:r w:rsidR="005E6E2F">
        <w:rPr>
          <w:rFonts w:ascii="Times New Roman" w:eastAsia="Times New Roman" w:hAnsi="Times New Roman" w:cs="Times New Roman"/>
          <w:sz w:val="24"/>
          <w:szCs w:val="24"/>
          <w:lang w:eastAsia="es-ES"/>
        </w:rPr>
        <w:t xml:space="preserve">a </w:t>
      </w:r>
      <w:r w:rsidR="005E6E2F" w:rsidRPr="0083222B">
        <w:rPr>
          <w:rFonts w:ascii="Times New Roman" w:eastAsia="Times New Roman" w:hAnsi="Times New Roman" w:cs="Times New Roman"/>
          <w:sz w:val="24"/>
          <w:szCs w:val="24"/>
          <w:lang w:eastAsia="es-ES"/>
        </w:rPr>
        <w:t>sentencia del Tribunal de Justicia</w:t>
      </w:r>
      <w:r w:rsidR="005E6E2F">
        <w:rPr>
          <w:rFonts w:ascii="Times New Roman" w:eastAsia="Times New Roman" w:hAnsi="Times New Roman" w:cs="Times New Roman"/>
          <w:sz w:val="24"/>
          <w:szCs w:val="24"/>
          <w:lang w:eastAsia="es-ES"/>
        </w:rPr>
        <w:t xml:space="preserve"> de la UE</w:t>
      </w:r>
      <w:r w:rsidR="005E6E2F" w:rsidRPr="0083222B">
        <w:rPr>
          <w:rFonts w:ascii="Times New Roman" w:eastAsia="Times New Roman" w:hAnsi="Times New Roman" w:cs="Times New Roman"/>
          <w:sz w:val="24"/>
          <w:szCs w:val="24"/>
          <w:lang w:eastAsia="es-ES"/>
        </w:rPr>
        <w:t xml:space="preserve"> </w:t>
      </w:r>
      <w:r w:rsidR="005E6E2F" w:rsidRPr="007303B0">
        <w:rPr>
          <w:rFonts w:ascii="Times New Roman" w:eastAsia="Times New Roman" w:hAnsi="Times New Roman" w:cs="Times New Roman"/>
          <w:b/>
          <w:bCs/>
          <w:sz w:val="24"/>
          <w:szCs w:val="24"/>
          <w:lang w:eastAsia="es-ES"/>
        </w:rPr>
        <w:t>de 28 de junio de 2022</w:t>
      </w:r>
      <w:r w:rsidR="005E6E2F" w:rsidRPr="0083222B">
        <w:rPr>
          <w:rFonts w:ascii="Times New Roman" w:eastAsia="Times New Roman" w:hAnsi="Times New Roman" w:cs="Times New Roman"/>
          <w:sz w:val="24"/>
          <w:szCs w:val="24"/>
          <w:lang w:eastAsia="es-ES"/>
        </w:rPr>
        <w:t xml:space="preserve"> (asunto C-278/20. </w:t>
      </w:r>
      <w:r w:rsidR="005E6E2F" w:rsidRPr="0083222B">
        <w:rPr>
          <w:rFonts w:ascii="Times New Roman" w:eastAsia="Times New Roman" w:hAnsi="Times New Roman" w:cs="Times New Roman"/>
          <w:i/>
          <w:iCs/>
          <w:sz w:val="24"/>
          <w:szCs w:val="24"/>
          <w:lang w:eastAsia="es-ES"/>
        </w:rPr>
        <w:t>Comisión/España</w:t>
      </w:r>
      <w:r w:rsidR="005E6E2F" w:rsidRPr="0083222B">
        <w:rPr>
          <w:rFonts w:ascii="Times New Roman" w:eastAsia="Times New Roman" w:hAnsi="Times New Roman" w:cs="Times New Roman"/>
          <w:sz w:val="24"/>
          <w:szCs w:val="24"/>
          <w:lang w:eastAsia="es-ES"/>
        </w:rPr>
        <w:t>)</w:t>
      </w:r>
      <w:r>
        <w:rPr>
          <w:rFonts w:ascii="Times New Roman" w:eastAsia="Times New Roman" w:hAnsi="Times New Roman" w:cs="Times New Roman"/>
          <w:sz w:val="24"/>
          <w:szCs w:val="24"/>
          <w:lang w:eastAsia="es-ES"/>
        </w:rPr>
        <w:t>.</w:t>
      </w:r>
    </w:p>
    <w:p w14:paraId="18601D41" w14:textId="7328CEC4" w:rsidR="007303B0" w:rsidRDefault="007303B0" w:rsidP="00E55BC2">
      <w:pPr>
        <w:spacing w:line="240" w:lineRule="auto"/>
        <w:jc w:val="both"/>
        <w:rPr>
          <w:rFonts w:ascii="Times New Roman" w:eastAsia="Times New Roman" w:hAnsi="Times New Roman" w:cs="Times New Roman"/>
          <w:sz w:val="24"/>
          <w:szCs w:val="24"/>
          <w:lang w:eastAsia="es-ES"/>
        </w:rPr>
      </w:pPr>
      <w:r w:rsidRPr="00335C41">
        <w:rPr>
          <w:rFonts w:ascii="Times New Roman" w:eastAsia="Times New Roman" w:hAnsi="Times New Roman" w:cs="Times New Roman"/>
          <w:b/>
          <w:bCs/>
          <w:sz w:val="24"/>
          <w:szCs w:val="24"/>
          <w:lang w:eastAsia="es-ES"/>
        </w:rPr>
        <w:t>L</w:t>
      </w:r>
      <w:r w:rsidRPr="00335C41">
        <w:rPr>
          <w:rFonts w:ascii="Times New Roman" w:eastAsia="Times New Roman" w:hAnsi="Times New Roman" w:cs="Times New Roman"/>
          <w:b/>
          <w:bCs/>
          <w:sz w:val="24"/>
          <w:szCs w:val="24"/>
          <w:lang w:eastAsia="es-ES"/>
        </w:rPr>
        <w:t>a Comisión está incumpliendo sus propias normas internas</w:t>
      </w:r>
      <w:r w:rsidRPr="007303B0">
        <w:rPr>
          <w:rFonts w:ascii="Times New Roman" w:eastAsia="Times New Roman" w:hAnsi="Times New Roman" w:cs="Times New Roman"/>
          <w:sz w:val="24"/>
          <w:szCs w:val="24"/>
          <w:lang w:eastAsia="es-ES"/>
        </w:rPr>
        <w:t>, en las que fija un plazo de referencia, </w:t>
      </w:r>
      <w:r w:rsidRPr="007303B0">
        <w:rPr>
          <w:rFonts w:ascii="Times New Roman" w:eastAsia="Times New Roman" w:hAnsi="Times New Roman" w:cs="Times New Roman"/>
          <w:b/>
          <w:bCs/>
          <w:sz w:val="24"/>
          <w:szCs w:val="24"/>
          <w:lang w:eastAsia="es-ES"/>
        </w:rPr>
        <w:t>de entre 8 y 18 meses</w:t>
      </w:r>
      <w:r w:rsidRPr="007303B0">
        <w:rPr>
          <w:rFonts w:ascii="Times New Roman" w:eastAsia="Times New Roman" w:hAnsi="Times New Roman" w:cs="Times New Roman"/>
          <w:sz w:val="24"/>
          <w:szCs w:val="24"/>
          <w:lang w:eastAsia="es-ES"/>
        </w:rPr>
        <w:t xml:space="preserve">, antes de decidir iniciar un nuevo procedimiento bajo el art. 260.2 TFUE por incumplimiento de la sentencia del TJUE. </w:t>
      </w:r>
    </w:p>
    <w:p w14:paraId="6A03BAEC" w14:textId="10657324" w:rsidR="00616B2B" w:rsidRDefault="007303B0" w:rsidP="00E55BC2">
      <w:pPr>
        <w:spacing w:line="24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Debe tenerse en cuenta que referida sentencia del TJUE estuvo precedida por un largo procedimiento de infracción, también a cargo de la Comisión, iniciado en base a una denuncia presentada en el lejano 2 de octubre de 2015.</w:t>
      </w:r>
    </w:p>
    <w:p w14:paraId="7BE6C5F3" w14:textId="4F823A94" w:rsidR="00335C41" w:rsidRPr="00335C41" w:rsidRDefault="00581895" w:rsidP="00E55BC2">
      <w:pPr>
        <w:spacing w:line="240" w:lineRule="auto"/>
        <w:jc w:val="both"/>
        <w:rPr>
          <w:rFonts w:ascii="Times New Roman" w:eastAsia="Times New Roman" w:hAnsi="Times New Roman" w:cs="Times New Roman"/>
          <w:b/>
          <w:bCs/>
          <w:sz w:val="24"/>
          <w:szCs w:val="24"/>
          <w:u w:val="single"/>
          <w:lang w:eastAsia="es-ES"/>
        </w:rPr>
      </w:pPr>
      <w:r>
        <w:rPr>
          <w:rFonts w:ascii="Times New Roman" w:eastAsia="Times New Roman" w:hAnsi="Times New Roman" w:cs="Times New Roman"/>
          <w:b/>
          <w:bCs/>
          <w:sz w:val="24"/>
          <w:szCs w:val="24"/>
          <w:u w:val="single"/>
          <w:lang w:eastAsia="es-ES"/>
        </w:rPr>
        <w:t xml:space="preserve">VI.- </w:t>
      </w:r>
      <w:r w:rsidR="00335C41" w:rsidRPr="00335C41">
        <w:rPr>
          <w:rFonts w:ascii="Times New Roman" w:eastAsia="Times New Roman" w:hAnsi="Times New Roman" w:cs="Times New Roman"/>
          <w:b/>
          <w:bCs/>
          <w:sz w:val="24"/>
          <w:szCs w:val="24"/>
          <w:u w:val="single"/>
          <w:lang w:eastAsia="es-ES"/>
        </w:rPr>
        <w:t>Incumplimiento sistémico por la Comisión de las normas de acceso a los documentos</w:t>
      </w:r>
    </w:p>
    <w:p w14:paraId="2C1564AC" w14:textId="21908A89" w:rsidR="00335C41" w:rsidRDefault="00335C41" w:rsidP="00E55BC2">
      <w:pPr>
        <w:spacing w:line="24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Como tiene denunciado constantemente el Defensor del Pueblo Europeo, la Comisión incumple de forma sistemática las normas de acceso a sus documentos, especialmente los relacionados con el procedimiento legislativo.</w:t>
      </w:r>
    </w:p>
    <w:p w14:paraId="047D0404" w14:textId="77777777" w:rsidR="00581895" w:rsidRPr="005611B2" w:rsidRDefault="00581895" w:rsidP="00E55BC2">
      <w:pPr>
        <w:spacing w:line="240" w:lineRule="auto"/>
        <w:jc w:val="both"/>
        <w:rPr>
          <w:rFonts w:ascii="Times New Roman" w:eastAsia="Times New Roman" w:hAnsi="Times New Roman" w:cs="Times New Roman"/>
          <w:sz w:val="24"/>
          <w:szCs w:val="24"/>
          <w:lang w:eastAsia="es-ES"/>
        </w:rPr>
      </w:pPr>
    </w:p>
    <w:sectPr w:rsidR="00581895" w:rsidRPr="005611B2">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DA4CC" w14:textId="77777777" w:rsidR="00AF577B" w:rsidRDefault="00AF577B" w:rsidP="00CA55B1">
      <w:pPr>
        <w:spacing w:after="0" w:line="240" w:lineRule="auto"/>
      </w:pPr>
      <w:r>
        <w:separator/>
      </w:r>
    </w:p>
  </w:endnote>
  <w:endnote w:type="continuationSeparator" w:id="0">
    <w:p w14:paraId="281C0FBF" w14:textId="77777777" w:rsidR="00AF577B" w:rsidRDefault="00AF577B" w:rsidP="00CA55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8F400" w14:textId="77777777" w:rsidR="00AF577B" w:rsidRDefault="00AF577B" w:rsidP="00CA55B1">
      <w:pPr>
        <w:spacing w:after="0" w:line="240" w:lineRule="auto"/>
      </w:pPr>
      <w:r>
        <w:separator/>
      </w:r>
    </w:p>
  </w:footnote>
  <w:footnote w:type="continuationSeparator" w:id="0">
    <w:p w14:paraId="049936B8" w14:textId="77777777" w:rsidR="00AF577B" w:rsidRDefault="00AF577B" w:rsidP="00CA55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298158"/>
      <w:docPartObj>
        <w:docPartGallery w:val="Page Numbers (Top of Page)"/>
        <w:docPartUnique/>
      </w:docPartObj>
    </w:sdtPr>
    <w:sdtContent>
      <w:p w14:paraId="799314C9" w14:textId="2B365B2C" w:rsidR="00CA55B1" w:rsidRDefault="00CA55B1">
        <w:pPr>
          <w:pStyle w:val="Encabezado"/>
          <w:jc w:val="right"/>
        </w:pPr>
        <w:r>
          <w:fldChar w:fldCharType="begin"/>
        </w:r>
        <w:r>
          <w:instrText>PAGE   \* MERGEFORMAT</w:instrText>
        </w:r>
        <w:r>
          <w:fldChar w:fldCharType="separate"/>
        </w:r>
        <w:r>
          <w:t>2</w:t>
        </w:r>
        <w:r>
          <w:fldChar w:fldCharType="end"/>
        </w:r>
      </w:p>
    </w:sdtContent>
  </w:sdt>
  <w:p w14:paraId="01D88A0F" w14:textId="77777777" w:rsidR="00CA55B1" w:rsidRDefault="00CA55B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9D124C"/>
    <w:multiLevelType w:val="multilevel"/>
    <w:tmpl w:val="213679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83809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BC2"/>
    <w:rsid w:val="000677B3"/>
    <w:rsid w:val="00186FBF"/>
    <w:rsid w:val="001B731C"/>
    <w:rsid w:val="001C738C"/>
    <w:rsid w:val="002F4590"/>
    <w:rsid w:val="00312C1E"/>
    <w:rsid w:val="00335C41"/>
    <w:rsid w:val="005611B2"/>
    <w:rsid w:val="00581895"/>
    <w:rsid w:val="005E6E2F"/>
    <w:rsid w:val="00616B2B"/>
    <w:rsid w:val="007303B0"/>
    <w:rsid w:val="00774E80"/>
    <w:rsid w:val="00781101"/>
    <w:rsid w:val="007C77DB"/>
    <w:rsid w:val="00A44204"/>
    <w:rsid w:val="00AF577B"/>
    <w:rsid w:val="00B34882"/>
    <w:rsid w:val="00CA55B1"/>
    <w:rsid w:val="00CB79B7"/>
    <w:rsid w:val="00D36CC3"/>
    <w:rsid w:val="00D57AD6"/>
    <w:rsid w:val="00E55BC2"/>
    <w:rsid w:val="00EA347F"/>
    <w:rsid w:val="00F060D9"/>
    <w:rsid w:val="00F537E2"/>
    <w:rsid w:val="00F954F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6137D"/>
  <w15:chartTrackingRefBased/>
  <w15:docId w15:val="{FDEBC1B2-5DF4-4032-BC6A-1808C8C8E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E55B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E55B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E55BC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55BC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55BC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55BC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55BC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55BC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55BC2"/>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55BC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E55BC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E55BC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55BC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55BC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55BC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55BC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55BC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55BC2"/>
    <w:rPr>
      <w:rFonts w:eastAsiaTheme="majorEastAsia" w:cstheme="majorBidi"/>
      <w:color w:val="272727" w:themeColor="text1" w:themeTint="D8"/>
    </w:rPr>
  </w:style>
  <w:style w:type="paragraph" w:styleId="Ttulo">
    <w:name w:val="Title"/>
    <w:basedOn w:val="Normal"/>
    <w:next w:val="Normal"/>
    <w:link w:val="TtuloCar"/>
    <w:uiPriority w:val="10"/>
    <w:qFormat/>
    <w:rsid w:val="00E55B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55BC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55BC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55BC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55BC2"/>
    <w:pPr>
      <w:spacing w:before="160"/>
      <w:jc w:val="center"/>
    </w:pPr>
    <w:rPr>
      <w:i/>
      <w:iCs/>
      <w:color w:val="404040" w:themeColor="text1" w:themeTint="BF"/>
    </w:rPr>
  </w:style>
  <w:style w:type="character" w:customStyle="1" w:styleId="CitaCar">
    <w:name w:val="Cita Car"/>
    <w:basedOn w:val="Fuentedeprrafopredeter"/>
    <w:link w:val="Cita"/>
    <w:uiPriority w:val="29"/>
    <w:rsid w:val="00E55BC2"/>
    <w:rPr>
      <w:i/>
      <w:iCs/>
      <w:color w:val="404040" w:themeColor="text1" w:themeTint="BF"/>
    </w:rPr>
  </w:style>
  <w:style w:type="paragraph" w:styleId="Prrafodelista">
    <w:name w:val="List Paragraph"/>
    <w:basedOn w:val="Normal"/>
    <w:uiPriority w:val="34"/>
    <w:qFormat/>
    <w:rsid w:val="00E55BC2"/>
    <w:pPr>
      <w:ind w:left="720"/>
      <w:contextualSpacing/>
    </w:pPr>
  </w:style>
  <w:style w:type="character" w:styleId="nfasisintenso">
    <w:name w:val="Intense Emphasis"/>
    <w:basedOn w:val="Fuentedeprrafopredeter"/>
    <w:uiPriority w:val="21"/>
    <w:qFormat/>
    <w:rsid w:val="00E55BC2"/>
    <w:rPr>
      <w:i/>
      <w:iCs/>
      <w:color w:val="0F4761" w:themeColor="accent1" w:themeShade="BF"/>
    </w:rPr>
  </w:style>
  <w:style w:type="paragraph" w:styleId="Citadestacada">
    <w:name w:val="Intense Quote"/>
    <w:basedOn w:val="Normal"/>
    <w:next w:val="Normal"/>
    <w:link w:val="CitadestacadaCar"/>
    <w:uiPriority w:val="30"/>
    <w:qFormat/>
    <w:rsid w:val="00E55B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55BC2"/>
    <w:rPr>
      <w:i/>
      <w:iCs/>
      <w:color w:val="0F4761" w:themeColor="accent1" w:themeShade="BF"/>
    </w:rPr>
  </w:style>
  <w:style w:type="character" w:styleId="Referenciaintensa">
    <w:name w:val="Intense Reference"/>
    <w:basedOn w:val="Fuentedeprrafopredeter"/>
    <w:uiPriority w:val="32"/>
    <w:qFormat/>
    <w:rsid w:val="00E55BC2"/>
    <w:rPr>
      <w:b/>
      <w:bCs/>
      <w:smallCaps/>
      <w:color w:val="0F4761" w:themeColor="accent1" w:themeShade="BF"/>
      <w:spacing w:val="5"/>
    </w:rPr>
  </w:style>
  <w:style w:type="paragraph" w:styleId="Encabezado">
    <w:name w:val="header"/>
    <w:basedOn w:val="Normal"/>
    <w:link w:val="EncabezadoCar"/>
    <w:uiPriority w:val="99"/>
    <w:unhideWhenUsed/>
    <w:rsid w:val="00CA55B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A55B1"/>
  </w:style>
  <w:style w:type="paragraph" w:styleId="Piedepgina">
    <w:name w:val="footer"/>
    <w:basedOn w:val="Normal"/>
    <w:link w:val="PiedepginaCar"/>
    <w:uiPriority w:val="99"/>
    <w:unhideWhenUsed/>
    <w:rsid w:val="00CA55B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A55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689</Words>
  <Characters>3795</Characters>
  <Application>Microsoft Office Word</Application>
  <DocSecurity>0</DocSecurity>
  <Lines>31</Lines>
  <Paragraphs>8</Paragraphs>
  <ScaleCrop>false</ScaleCrop>
  <Company/>
  <LinksUpToDate>false</LinksUpToDate>
  <CharactersWithSpaces>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Isaac Ibáñez García</dc:creator>
  <cp:keywords/>
  <dc:description/>
  <cp:lastModifiedBy>Isaac Ibáñez García</cp:lastModifiedBy>
  <cp:revision>24</cp:revision>
  <dcterms:created xsi:type="dcterms:W3CDTF">2025-12-09T09:30:00Z</dcterms:created>
  <dcterms:modified xsi:type="dcterms:W3CDTF">2025-12-09T10:18:00Z</dcterms:modified>
</cp:coreProperties>
</file>